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50.png" ContentType="image/png"/>
  <Override PartName="/word/media/rId30.png" ContentType="image/png"/>
  <Override PartName="/word/media/rId24.jpg" ContentType="image/jpe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information</w:t>
      </w:r>
    </w:p>
    <w:p>
      <w:pPr>
        <w:pStyle w:val="Subtitle"/>
      </w:pPr>
      <w:r>
        <w:t xml:space="preserve">Language-like</w:t>
      </w:r>
      <w:r>
        <w:t xml:space="preserve"> </w:t>
      </w:r>
      <w:r>
        <w:t xml:space="preserve">efficiency</w:t>
      </w:r>
      <w:r>
        <w:t xml:space="preserve"> </w:t>
      </w:r>
      <w:r>
        <w:t xml:space="preserve">and</w:t>
      </w:r>
      <w:r>
        <w:t xml:space="preserve"> </w:t>
      </w:r>
      <w:r>
        <w:t xml:space="preserve">structure</w:t>
      </w:r>
      <w:r>
        <w:t xml:space="preserve"> </w:t>
      </w:r>
      <w:r>
        <w:t xml:space="preserve">in</w:t>
      </w:r>
      <w:r>
        <w:t xml:space="preserve"> </w:t>
      </w:r>
      <w:r>
        <w:t xml:space="preserve">house</w:t>
      </w:r>
      <w:r>
        <w:t xml:space="preserve"> </w:t>
      </w:r>
      <w:r>
        <w:t xml:space="preserve">finch</w:t>
      </w:r>
      <w:r>
        <w:t xml:space="preserve"> </w:t>
      </w:r>
      <w:r>
        <w:t xml:space="preserve">song</w:t>
      </w:r>
    </w:p>
    <w:p>
      <w:pPr>
        <w:pStyle w:val="Author"/>
      </w:pPr>
      <w:r>
        <w:t xml:space="preserve">Mason</w:t>
      </w:r>
      <w:r>
        <w:t xml:space="preserve"> </w:t>
      </w:r>
      <w:r>
        <w:t xml:space="preserve">Youngblood</w:t>
      </w:r>
      <w:r>
        <w:t xml:space="preserve"> </w:t>
      </w:r>
      <w:r>
        <w:rPr>
          <w:rStyle w:val="FootnoteReference"/>
        </w:rPr>
        <w:footnoteReference w:id="20"/>
      </w:r>
      <w:r>
        <w:t xml:space="preserve"> </w:t>
      </w:r>
      <w:r>
        <w:rPr>
          <w:rStyle w:val="FootnoteReference"/>
        </w:rPr>
        <w:footnoteReference w:id="22"/>
      </w:r>
    </w:p>
    <w:bookmarkStart w:id="28" w:name="data"/>
    <w:p>
      <w:pPr>
        <w:pStyle w:val="Heading1"/>
      </w:pPr>
      <w:r>
        <w:rPr>
          <w:rStyle w:val="SectionNumber"/>
        </w:rPr>
        <w:t xml:space="preserve">1</w:t>
      </w:r>
      <w:r>
        <w:tab/>
      </w:r>
      <w:r>
        <w:t xml:space="preserve">Data</w:t>
      </w:r>
    </w:p>
    <w:p>
      <w:pPr>
        <w:pStyle w:val="FirstParagraph"/>
      </w:pPr>
      <w:r>
        <w:t xml:space="preserve">Recordings from 1975 were collected with a Nagra III reel-to-reel tape recorder and a Sennheiser 804 shotgun microphone and converted to digital files (32 bit, 96 kHz) by the Cornell Lab of Ornithology in 2013</w:t>
      </w:r>
      <w:r>
        <w:t xml:space="preserve"> </w:t>
      </w:r>
      <w:r>
        <w:t xml:space="preserve">(</w:t>
      </w:r>
      <w:hyperlink w:anchor="ref-Ju2019">
        <w:r>
          <w:rPr>
            <w:rStyle w:val="Hyperlink"/>
          </w:rPr>
          <w:t xml:space="preserve">1</w:t>
        </w:r>
      </w:hyperlink>
      <w:r>
        <w:t xml:space="preserve">)</w:t>
      </w:r>
      <w:r>
        <w:t xml:space="preserve">. Recordings from 2012 (16 bit, 44.1 kHz) and 2019 (32 bit, 48 kHz) were collected with a Marantz PD661 solid-state recorder and a Sennheiser ME66 shotgun microphone. The recordings from 1975 were downsampled to 48 kHz prior to analysis (Luscinia processes both 44.1 kHz and 48 kHz files). In all three years special precautions were taken to avoid recording the same bird twice</w:t>
      </w:r>
      <w:r>
        <w:t xml:space="preserve"> </w:t>
      </w:r>
      <w:r>
        <w:t xml:space="preserve">(</w:t>
      </w:r>
      <w:hyperlink w:anchor="ref-Ju2019">
        <w:r>
          <w:rPr>
            <w:rStyle w:val="Hyperlink"/>
          </w:rPr>
          <w:t xml:space="preserve">1</w:t>
        </w:r>
      </w:hyperlink>
      <w:r>
        <w:t xml:space="preserve">)</w:t>
      </w:r>
      <w:r>
        <w:t xml:space="preserve">. Each site was visited only once. Within a site, only one individual was recorded within a 160 m radius until they stopped singing or flew away.</w:t>
      </w:r>
    </w:p>
    <w:p>
      <w:pPr>
        <w:pStyle w:val="BodyText"/>
      </w:pPr>
      <w:r>
        <w:t xml:space="preserve">All songs were analyzed by</w:t>
      </w:r>
      <w:r>
        <w:t xml:space="preserve"> </w:t>
      </w:r>
      <w:r>
        <w:t xml:space="preserve">(</w:t>
      </w:r>
      <w:hyperlink w:anchor="ref-youngbloodContentBiasCultural2022">
        <w:r>
          <w:rPr>
            <w:rStyle w:val="Hyperlink"/>
          </w:rPr>
          <w:t xml:space="preserve">3</w:t>
        </w:r>
      </w:hyperlink>
      <w:r>
        <w:t xml:space="preserve">)</w:t>
      </w:r>
      <w:r>
        <w:t xml:space="preserve"> </w:t>
      </w:r>
      <w:r>
        <w:t xml:space="preserve">using Luscinia, a database and analysis program developed specifically for birdsong (</w:t>
      </w:r>
      <w:hyperlink r:id="rId23">
        <w:r>
          <w:rPr>
            <w:rStyle w:val="Hyperlink"/>
          </w:rPr>
          <w:t xml:space="preserve">https://rflachlan.github.io/Luscinia/</w:t>
        </w:r>
      </w:hyperlink>
      <w:r>
        <w:t xml:space="preserve">). Songs were analyzed with a high-pass threshold of 2000 Hz, a maximum frequency of 9000 Hz and 5 dB of noise removal. 965 songs (26.2%) were excluded from the analysis due to high levels of noise. Continuous traces with more than 20 ms between them were classified as syllables</w:t>
      </w:r>
      <w:r>
        <w:t xml:space="preserve"> </w:t>
      </w:r>
      <w:r>
        <w:t xml:space="preserve">(</w:t>
      </w:r>
      <w:hyperlink w:anchor="ref-Mundinger1975">
        <w:r>
          <w:rPr>
            <w:rStyle w:val="Hyperlink"/>
          </w:rPr>
          <w:t xml:space="preserve">2</w:t>
        </w:r>
      </w:hyperlink>
      <w:r>
        <w:t xml:space="preserve">)</w:t>
      </w:r>
      <w:r>
        <w:t xml:space="preserve">.</w:t>
      </w:r>
    </w:p>
    <w:p>
      <w:pPr>
        <w:pStyle w:val="BodyText"/>
      </w:pPr>
      <w:r>
        <w:t xml:space="preserve">Figure</w:t>
      </w:r>
      <w:r>
        <w:t xml:space="preserve"> </w:t>
      </w:r>
      <w:r>
        <w:t xml:space="preserve">1</w:t>
      </w:r>
      <w:r>
        <w:t xml:space="preserve"> </w:t>
      </w:r>
      <w:r>
        <w:t xml:space="preserve">shows an example of the first ten syllables of a house finch song recorded by</w:t>
      </w:r>
      <w:r>
        <w:t xml:space="preserve"> </w:t>
      </w:r>
      <w:r>
        <w:t xml:space="preserve">(</w:t>
      </w:r>
      <w:hyperlink w:anchor="ref-Mundinger1975">
        <w:r>
          <w:rPr>
            <w:rStyle w:val="Hyperlink"/>
          </w:rPr>
          <w:t xml:space="preserve">2</w:t>
        </w:r>
      </w:hyperlink>
      <w:r>
        <w:t xml:space="preserve">)</w:t>
      </w:r>
      <w:r>
        <w:t xml:space="preserve"> </w:t>
      </w:r>
      <w:r>
        <w:t xml:space="preserve">and analyzed in Luscinia, where the blue line is the mean frequency over time.</w:t>
      </w:r>
    </w:p>
    <w:p>
      <w:pPr>
        <w:pStyle w:val="CaptionedFigure"/>
      </w:pPr>
      <w:r>
        <w:drawing>
          <wp:inline>
            <wp:extent cx="5943600" cy="1888029"/>
            <wp:effectExtent b="0" l="0" r="0" t="0"/>
            <wp:docPr descr="Figure S1: The first 10 syllables from a song recorded by (2) 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 (3)." title="" id="25" name="Picture"/>
            <a:graphic>
              <a:graphicData uri="http://schemas.openxmlformats.org/drawingml/2006/picture">
                <pic:pic>
                  <pic:nvPicPr>
                    <pic:cNvPr descr="https://ars.els-cdn.com/content/image/1-s2.0-S000334722100395X-gr2_lrg.jpg" id="26" name="Picture"/>
                    <pic:cNvPicPr>
                      <a:picLocks noChangeArrowheads="1" noChangeAspect="1"/>
                    </pic:cNvPicPr>
                  </pic:nvPicPr>
                  <pic:blipFill>
                    <a:blip r:embed="rId24"/>
                    <a:stretch>
                      <a:fillRect/>
                    </a:stretch>
                  </pic:blipFill>
                  <pic:spPr bwMode="auto">
                    <a:xfrm>
                      <a:off x="0" y="0"/>
                      <a:ext cx="5943600" cy="1888029"/>
                    </a:xfrm>
                    <a:prstGeom prst="rect">
                      <a:avLst/>
                    </a:prstGeom>
                    <a:noFill/>
                    <a:ln w="9525">
                      <a:noFill/>
                      <a:headEnd/>
                      <a:tailEnd/>
                    </a:ln>
                  </pic:spPr>
                </pic:pic>
              </a:graphicData>
            </a:graphic>
          </wp:inline>
        </w:drawing>
      </w:r>
    </w:p>
    <w:p>
      <w:pPr>
        <w:pStyle w:val="ImageCaption"/>
      </w:pPr>
      <w:bookmarkStart w:id="27" w:name="fig:figure-song-example"/>
      <w:bookmarkEnd w:id="27"/>
      <w:r>
        <w:t xml:space="preserve">Figure S1: The first 10 syllables from a song recorded by</w:t>
      </w:r>
      <w:r>
        <w:t xml:space="preserve"> </w:t>
      </w:r>
      <w:r>
        <w:t xml:space="preserve">(</w:t>
      </w:r>
      <w:hyperlink w:anchor="ref-Mundinger1975">
        <w:r>
          <w:rPr>
            <w:rStyle w:val="Hyperlink"/>
          </w:rPr>
          <w:t xml:space="preserve">2</w:t>
        </w:r>
      </w:hyperlink>
      <w:r>
        <w:t xml:space="preserve">)</w:t>
      </w:r>
      <w:r>
        <w:t xml:space="preserve"> </w:t>
      </w:r>
      <w:r>
        <w:t xml:space="preserve">and analyzed in Luscinia. Each red bar corresponds to a syllable, and each green number corresponds to an element within that syllable. The blue traces represent mean frequency. In this song, syllable 3 and syllable 7 were classified as the same syllable type during dynamic time warping, and all other syllables are unique types. Reprinted from</w:t>
      </w:r>
      <w:r>
        <w:t xml:space="preserve"> </w:t>
      </w:r>
      <w:r>
        <w:t xml:space="preserve">(</w:t>
      </w:r>
      <w:hyperlink w:anchor="ref-youngbloodContentBiasCultural2022">
        <w:r>
          <w:rPr>
            <w:rStyle w:val="Hyperlink"/>
          </w:rPr>
          <w:t xml:space="preserve">3</w:t>
        </w:r>
      </w:hyperlink>
      <w:r>
        <w:t xml:space="preserve">)</w:t>
      </w:r>
      <w:r>
        <w:t xml:space="preserve">.</w:t>
      </w:r>
    </w:p>
    <w:bookmarkEnd w:id="28"/>
    <w:bookmarkStart w:id="29" w:name="clustering"/>
    <w:p>
      <w:pPr>
        <w:pStyle w:val="Heading1"/>
      </w:pPr>
      <w:r>
        <w:rPr>
          <w:rStyle w:val="SectionNumber"/>
        </w:rPr>
        <w:t xml:space="preserve">2</w:t>
      </w:r>
      <w:r>
        <w:tab/>
      </w:r>
      <w:r>
        <w:t xml:space="preserve">Clustering</w:t>
      </w:r>
    </w:p>
    <w:p>
      <w:pPr>
        <w:pStyle w:val="FirstParagraph"/>
      </w:pPr>
      <w:r>
        <w:t xml:space="preserve">The deep split parameter (</w:t>
      </w:r>
      <m:oMath>
        <m:r>
          <m:t>D</m:t>
        </m:r>
        <m:r>
          <m:t>S</m:t>
        </m:r>
      </m:oMath>
      <w:r>
        <w:t xml:space="preserve">) determines the granularity of clustering by controlling the value of two other parameters: the maximum core scatter (</w:t>
      </w:r>
      <m:oMath>
        <m:r>
          <m:t>M</m:t>
        </m:r>
        <m:r>
          <m:t>C</m:t>
        </m:r>
        <m:r>
          <m:t>S</m:t>
        </m:r>
      </m:oMath>
      <w:r>
        <w:t xml:space="preserve">), which controls the maximum within-group variation, and the minimum gap (</w:t>
      </w:r>
      <m:oMath>
        <m:r>
          <m:t>M</m:t>
        </m:r>
        <m:r>
          <m:t>G</m:t>
        </m:r>
      </m:oMath>
      <w:r>
        <w:t xml:space="preserve">), which controls the minimum between-group variation</w:t>
      </w:r>
      <w:r>
        <w:t xml:space="preserve"> </w:t>
      </w:r>
      <w:r>
        <w:t xml:space="preserve">(</w:t>
      </w:r>
      <w:hyperlink w:anchor="ref-langfelder_etal08">
        <w:r>
          <w:rPr>
            <w:rStyle w:val="Hyperlink"/>
          </w:rPr>
          <w:t xml:space="preserve">4</w:t>
        </w:r>
      </w:hyperlink>
      <w:r>
        <w:t xml:space="preserve">,</w:t>
      </w:r>
      <w:hyperlink w:anchor="ref-ju16">
        <w:r>
          <w:rPr>
            <w:rStyle w:val="Hyperlink"/>
          </w:rPr>
          <w:t xml:space="preserve">5</w:t>
        </w:r>
      </w:hyperlink>
      <w:r>
        <w:t xml:space="preserve">)</w:t>
      </w:r>
      <w:r>
        <w:t xml:space="preserve">.</w:t>
      </w:r>
      <w:r>
        <w:t xml:space="preserve"> </w:t>
      </w:r>
      <m:oMath>
        <m:r>
          <m:t>D</m:t>
        </m:r>
        <m:r>
          <m:t>S</m:t>
        </m:r>
        <m:r>
          <m:rPr>
            <m:sty m:val="p"/>
          </m:rPr>
          <m:t>=</m:t>
        </m:r>
        <m:r>
          <m:rPr>
            <m:sty m:val="p"/>
          </m:rPr>
          <m:t>{</m:t>
        </m:r>
        <m:r>
          <m:t>0</m:t>
        </m:r>
        <m:r>
          <m:rPr>
            <m:sty m:val="p"/>
          </m:rPr>
          <m:t>,</m:t>
        </m:r>
        <m:r>
          <m:t>1</m:t>
        </m:r>
        <m:r>
          <m:rPr>
            <m:sty m:val="p"/>
          </m:rPr>
          <m:t>,</m:t>
        </m:r>
        <m:r>
          <m:t>2</m:t>
        </m:r>
        <m:r>
          <m:rPr>
            <m:sty m:val="p"/>
          </m:rPr>
          <m:t>,</m:t>
        </m:r>
        <m:r>
          <m:t>3</m:t>
        </m:r>
        <m:r>
          <m:rPr>
            <m:sty m:val="p"/>
          </m:rPr>
          <m:t>,</m:t>
        </m:r>
        <m:r>
          <m:t>4</m:t>
        </m:r>
        <m:r>
          <m:rPr>
            <m:sty m:val="p"/>
          </m:rPr>
          <m:t>}</m:t>
        </m:r>
      </m:oMath>
      <w:r>
        <w:t xml:space="preserve"> </w:t>
      </w:r>
      <w:r>
        <w:t xml:space="preserve">correspond to</w:t>
      </w:r>
      <w:r>
        <w:t xml:space="preserve"> </w:t>
      </w:r>
      <m:oMath>
        <m:r>
          <m:t>M</m:t>
        </m:r>
        <m:r>
          <m:t>C</m:t>
        </m:r>
        <m:r>
          <m:t>S</m:t>
        </m:r>
        <m:r>
          <m:rPr>
            <m:sty m:val="p"/>
          </m:rPr>
          <m:t>=</m:t>
        </m:r>
        <m:r>
          <m:rPr>
            <m:sty m:val="p"/>
          </m:rPr>
          <m:t>{</m:t>
        </m:r>
        <m:r>
          <m:t>0.64</m:t>
        </m:r>
        <m:r>
          <m:rPr>
            <m:sty m:val="p"/>
          </m:rPr>
          <m:t>,</m:t>
        </m:r>
        <m:r>
          <m:t>0.73</m:t>
        </m:r>
        <m:r>
          <m:rPr>
            <m:sty m:val="p"/>
          </m:rPr>
          <m:t>,</m:t>
        </m:r>
        <m:r>
          <m:t>0.82</m:t>
        </m:r>
        <m:r>
          <m:rPr>
            <m:sty m:val="p"/>
          </m:rPr>
          <m:t>,</m:t>
        </m:r>
        <m:r>
          <m:t>0.91</m:t>
        </m:r>
        <m:r>
          <m:rPr>
            <m:sty m:val="p"/>
          </m:rPr>
          <m:t>,</m:t>
        </m:r>
        <m:r>
          <m:t>0.95</m:t>
        </m:r>
        <m:r>
          <m:rPr>
            <m:sty m:val="p"/>
          </m:rPr>
          <m:t>}</m:t>
        </m:r>
      </m:oMath>
      <w:r>
        <w:t xml:space="preserve">, and</w:t>
      </w:r>
      <w:r>
        <w:t xml:space="preserve"> </w:t>
      </w:r>
      <m:oMath>
        <m:r>
          <m:t>M</m:t>
        </m:r>
        <m:r>
          <m:t>G</m:t>
        </m:r>
        <m:r>
          <m:rPr>
            <m:sty m:val="p"/>
          </m:rPr>
          <m:t>=</m:t>
        </m:r>
        <m:d>
          <m:dPr>
            <m:begChr m:val="("/>
            <m:endChr m:val=")"/>
            <m:sepChr m:val=""/>
            <m:grow/>
          </m:dPr>
          <m:e>
            <m:r>
              <m:t>1</m:t>
            </m:r>
            <m:r>
              <m:rPr>
                <m:sty m:val="p"/>
              </m:rPr>
              <m:t>−</m:t>
            </m:r>
            <m:r>
              <m:t>M</m:t>
            </m:r>
            <m:r>
              <m:t>C</m:t>
            </m:r>
            <m:r>
              <m:t>S</m:t>
            </m:r>
          </m:e>
        </m:d>
        <m:r>
          <m:rPr>
            <m:sty m:val="p"/>
          </m:rPr>
          <m:t>*</m:t>
        </m:r>
        <m:r>
          <m:t>0.75</m:t>
        </m:r>
      </m:oMath>
      <w:r>
        <w:t xml:space="preserve">. In their analyses of house finch song,</w:t>
      </w:r>
      <w:r>
        <w:t xml:space="preserve"> </w:t>
      </w:r>
      <w:r>
        <w:t xml:space="preserve">(</w:t>
      </w:r>
      <w:hyperlink w:anchor="ref-Ju2019">
        <w:r>
          <w:rPr>
            <w:rStyle w:val="Hyperlink"/>
          </w:rPr>
          <w:t xml:space="preserve">1</w:t>
        </w:r>
      </w:hyperlink>
      <w:r>
        <w:t xml:space="preserve">)</w:t>
      </w:r>
      <w:r>
        <w:t xml:space="preserve"> </w:t>
      </w:r>
      <w:r>
        <w:t xml:space="preserve">and</w:t>
      </w:r>
      <w:r>
        <w:t xml:space="preserve"> </w:t>
      </w:r>
      <w:r>
        <w:t xml:space="preserve">(</w:t>
      </w:r>
      <w:hyperlink w:anchor="ref-Roginek2018">
        <w:r>
          <w:rPr>
            <w:rStyle w:val="Hyperlink"/>
          </w:rPr>
          <w:t xml:space="preserve">6</w:t>
        </w:r>
      </w:hyperlink>
      <w:r>
        <w:t xml:space="preserve">)</w:t>
      </w:r>
      <w:r>
        <w:t xml:space="preserve"> </w:t>
      </w:r>
      <w:r>
        <w:t xml:space="preserve">manually set</w:t>
      </w:r>
      <w:r>
        <w:t xml:space="preserve"> </w:t>
      </w:r>
      <m:oMath>
        <m:r>
          <m:t>M</m:t>
        </m:r>
        <m:r>
          <m:t>C</m:t>
        </m:r>
        <m:r>
          <m:t>S</m:t>
        </m:r>
        <m:r>
          <m:rPr>
            <m:sty m:val="p"/>
          </m:rPr>
          <m:t>=</m:t>
        </m:r>
        <m:r>
          <m:t>1</m:t>
        </m:r>
      </m:oMath>
      <w:r>
        <w:t xml:space="preserve"> </w:t>
      </w:r>
      <w:r>
        <w:t xml:space="preserve">and</w:t>
      </w:r>
      <w:r>
        <w:t xml:space="preserve"> </w:t>
      </w:r>
      <m:oMath>
        <m:r>
          <m:t>M</m:t>
        </m:r>
        <m:r>
          <m:t>G</m:t>
        </m:r>
        <m:r>
          <m:rPr>
            <m:sty m:val="p"/>
          </m:rPr>
          <m:t>=</m:t>
        </m:r>
        <m:r>
          <m:t>0.5</m:t>
        </m:r>
      </m:oMath>
      <w:r>
        <w:t xml:space="preserve"> </w:t>
      </w:r>
      <w:r>
        <w:t xml:space="preserve">while</w:t>
      </w:r>
      <w:r>
        <w:t xml:space="preserve"> </w:t>
      </w:r>
      <w:r>
        <w:t xml:space="preserve">(</w:t>
      </w:r>
      <w:hyperlink w:anchor="ref-youngbloodContentBiasCultural2022">
        <w:r>
          <w:rPr>
            <w:rStyle w:val="Hyperlink"/>
          </w:rPr>
          <w:t xml:space="preserve">3</w:t>
        </w:r>
      </w:hyperlink>
      <w:r>
        <w:t xml:space="preserve">)</w:t>
      </w:r>
      <w:r>
        <w:t xml:space="preserve"> </w:t>
      </w:r>
      <w:r>
        <w:t xml:space="preserve">used</w:t>
      </w:r>
      <w:r>
        <w:t xml:space="preserve"> </w:t>
      </w:r>
      <m:oMath>
        <m:r>
          <m:t>D</m:t>
        </m:r>
        <m:r>
          <m:t>S</m:t>
        </m:r>
        <m:r>
          <m:rPr>
            <m:sty m:val="p"/>
          </m:rPr>
          <m:t>=</m:t>
        </m:r>
        <m:r>
          <m:t>3</m:t>
        </m:r>
      </m:oMath>
      <w:r>
        <w:t xml:space="preserve"> </w:t>
      </w:r>
      <w:r>
        <w:t xml:space="preserve">(corresponding to</w:t>
      </w:r>
      <w:r>
        <w:t xml:space="preserve"> </w:t>
      </w:r>
      <m:oMath>
        <m:r>
          <m:t>M</m:t>
        </m:r>
        <m:r>
          <m:t>C</m:t>
        </m:r>
        <m:r>
          <m:t>S</m:t>
        </m:r>
        <m:r>
          <m:rPr>
            <m:sty m:val="p"/>
          </m:rPr>
          <m:t>=</m:t>
        </m:r>
        <m:r>
          <m:t>0.91</m:t>
        </m:r>
      </m:oMath>
      <w:r>
        <w:t xml:space="preserve"> </w:t>
      </w:r>
      <w:r>
        <w:t xml:space="preserve">and</w:t>
      </w:r>
      <w:r>
        <w:t xml:space="preserve"> </w:t>
      </w:r>
      <m:oMath>
        <m:r>
          <m:t>M</m:t>
        </m:r>
        <m:r>
          <m:t>G</m:t>
        </m:r>
        <m:r>
          <m:rPr>
            <m:sty m:val="p"/>
          </m:rPr>
          <m:t>=</m:t>
        </m:r>
        <m:r>
          <m:t>0.0675</m:t>
        </m:r>
      </m:oMath>
      <w:r>
        <w:t xml:space="preserve">), all of which led to a similar number of syllable types. I will follow</w:t>
      </w:r>
      <w:r>
        <w:t xml:space="preserve"> </w:t>
      </w:r>
      <w:r>
        <w:t xml:space="preserve">(</w:t>
      </w:r>
      <w:hyperlink w:anchor="ref-youngbloodContentBiasCultural2022">
        <w:r>
          <w:rPr>
            <w:rStyle w:val="Hyperlink"/>
          </w:rPr>
          <w:t xml:space="preserve">3</w:t>
        </w:r>
      </w:hyperlink>
      <w:r>
        <w:t xml:space="preserve">)</w:t>
      </w:r>
      <w:r>
        <w:t xml:space="preserve"> </w:t>
      </w:r>
      <w:r>
        <w:t xml:space="preserve">in using the simpler deep split parameter to control granularity in clustering, as this approach is recommended by the creators of dynamic tree cut</w:t>
      </w:r>
      <w:r>
        <w:t xml:space="preserve"> </w:t>
      </w:r>
      <w:r>
        <w:t xml:space="preserve">(</w:t>
      </w:r>
      <w:hyperlink w:anchor="ref-langfelder_etal08">
        <w:r>
          <w:rPr>
            <w:rStyle w:val="Hyperlink"/>
          </w:rPr>
          <w:t xml:space="preserve">4</w:t>
        </w:r>
      </w:hyperlink>
      <w:r>
        <w:t xml:space="preserve">)</w:t>
      </w:r>
      <w:r>
        <w:t xml:space="preserve"> </w:t>
      </w:r>
      <w:r>
        <w:t xml:space="preserve">and has been widely used for a variety of applications</w:t>
      </w:r>
      <w:r>
        <w:t xml:space="preserve"> </w:t>
      </w:r>
      <w:r>
        <w:t xml:space="preserve">(</w:t>
      </w:r>
      <w:hyperlink w:anchor="ref-liu_etal22">
        <w:r>
          <w:rPr>
            <w:rStyle w:val="Hyperlink"/>
          </w:rPr>
          <w:t xml:space="preserve">7</w:t>
        </w:r>
      </w:hyperlink>
      <w:r>
        <w:t xml:space="preserve">,</w:t>
      </w:r>
      <w:hyperlink w:anchor="ref-zhao_etal20">
        <w:r>
          <w:rPr>
            <w:rStyle w:val="Hyperlink"/>
          </w:rPr>
          <w:t xml:space="preserve">8</w:t>
        </w:r>
      </w:hyperlink>
      <w:r>
        <w:t xml:space="preserve">)</w:t>
      </w:r>
      <w:r>
        <w:t xml:space="preserve"> </w:t>
      </w:r>
      <w:r>
        <w:t xml:space="preserve">including vocal analysis</w:t>
      </w:r>
      <w:r>
        <w:t xml:space="preserve"> </w:t>
      </w:r>
      <w:r>
        <w:t xml:space="preserve">(</w:t>
      </w:r>
      <w:hyperlink w:anchor="ref-burkett_etal15">
        <w:r>
          <w:rPr>
            <w:rStyle w:val="Hyperlink"/>
          </w:rPr>
          <w:t xml:space="preserve">9</w:t>
        </w:r>
      </w:hyperlink>
      <w:r>
        <w:t xml:space="preserve">)</w:t>
      </w:r>
      <w:r>
        <w:t xml:space="preserve">.</w:t>
      </w:r>
    </w:p>
    <w:bookmarkEnd w:id="29"/>
    <w:bookmarkStart w:id="49" w:name="zipfs-rank-frequency-law"/>
    <w:p>
      <w:pPr>
        <w:pStyle w:val="Heading1"/>
      </w:pPr>
      <w:r>
        <w:rPr>
          <w:rStyle w:val="SectionNumber"/>
        </w:rPr>
        <w:t xml:space="preserve">3</w:t>
      </w:r>
      <w:r>
        <w:tab/>
      </w:r>
      <w:r>
        <w:t xml:space="preserve">Zipf’s Rank-Frequency Law</w:t>
      </w:r>
    </w:p>
    <w:p>
      <w:pPr>
        <w:pStyle w:val="CaptionedFigure"/>
      </w:pPr>
      <w:r>
        <w:drawing>
          <wp:inline>
            <wp:extent cx="5943600" cy="2272552"/>
            <wp:effectExtent b="0" l="0" r="0" t="0"/>
            <wp:docPr descr="Figure S2: The relationship between rank (x-axis) and count (y-axis) at each level of deep split (left, center, and right). The blue and orange lines denote the expected distributions according to Zipf’s rank-frequency law (blue) and Mandelbrot’s extension of it (orange)." title="" id="31" name="Picture"/>
            <a:graphic>
              <a:graphicData uri="http://schemas.openxmlformats.org/drawingml/2006/picture">
                <pic:pic>
                  <pic:nvPicPr>
                    <pic:cNvPr descr="../plots/rank_count.png" id="32" name="Picture"/>
                    <pic:cNvPicPr>
                      <a:picLocks noChangeArrowheads="1" noChangeAspect="1"/>
                    </pic:cNvPicPr>
                  </pic:nvPicPr>
                  <pic:blipFill>
                    <a:blip r:embed="rId30"/>
                    <a:stretch>
                      <a:fillRect/>
                    </a:stretch>
                  </pic:blipFill>
                  <pic:spPr bwMode="auto">
                    <a:xfrm>
                      <a:off x="0" y="0"/>
                      <a:ext cx="5943600" cy="2272552"/>
                    </a:xfrm>
                    <a:prstGeom prst="rect">
                      <a:avLst/>
                    </a:prstGeom>
                    <a:noFill/>
                    <a:ln w="9525">
                      <a:noFill/>
                      <a:headEnd/>
                      <a:tailEnd/>
                    </a:ln>
                  </pic:spPr>
                </pic:pic>
              </a:graphicData>
            </a:graphic>
          </wp:inline>
        </w:drawing>
      </w:r>
    </w:p>
    <w:p>
      <w:pPr>
        <w:pStyle w:val="ImageCaption"/>
      </w:pPr>
      <w:bookmarkStart w:id="33" w:name="fig:figure-zipf-rank"/>
      <w:bookmarkEnd w:id="33"/>
      <w:r>
        <w:t xml:space="preserve">Figure S2: The relationship between rank (x-axis) and count (y-axis) at each level of deep split (left, center, and right). The blue and orange lines denote the expected distributions according to Zipf’s rank-frequency law (blue) and Mandelbrot’s extension of it (orange).</w:t>
      </w:r>
    </w:p>
    <w:bookmarkStart w:id="36" w:name="priors-and-diagnostics"/>
    <w:p>
      <w:pPr>
        <w:pStyle w:val="Heading2"/>
      </w:pPr>
      <w:r>
        <w:rPr>
          <w:rStyle w:val="SectionNumber"/>
        </w:rPr>
        <w:t xml:space="preserve">3.1</w:t>
      </w:r>
      <w:r>
        <w:tab/>
      </w:r>
      <w:r>
        <w:t xml:space="preserve">Priors and Diagnostics</w:t>
      </w:r>
    </w:p>
    <w:p>
      <w:pPr>
        <w:pStyle w:val="FirstParagraph"/>
      </w:pPr>
    </w:p>
    <w:p>
      <w:pPr>
        <w:pStyle w:val="TableCaption"/>
      </w:pPr>
      <w:bookmarkStart w:id="34" w:name="tab:unnamed-chunk-3"/>
      <w:bookmarkEnd w:id="34"/>
      <w:r>
        <w:t xml:space="preserve">Table S1:</w:t>
      </w:r>
      <w:r>
        <w:t xml:space="preserve"> </w:t>
      </w:r>
      <w:r>
        <w:t xml:space="preserve">Prior specification for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student_t(3, 0, 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35" w:name="tab:unnamed-chunk-4"/>
      <w:bookmarkEnd w:id="35"/>
      <w:r>
        <w:t xml:space="preserve">Table S2:</w:t>
      </w:r>
      <w:r>
        <w:t xml:space="preserve"> </w:t>
      </w:r>
      <w:r>
        <w:t xml:space="preserve">WAIC values from the Zipf and Zipf-Mandelbrot models fit across the three levels of granularity.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Zipf-Mandelbrot</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-7,817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-17,566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-25,617</w:t>
            </w:r>
          </w:p>
        </w:tc>
      </w:tr>
    </w:tbl>
    <w:p>
      <w:pPr>
        <w:pStyle w:val="BodyText"/>
      </w:pPr>
    </w:p>
    <w:bookmarkEnd w:id="36"/>
    <w:bookmarkStart w:id="39" w:name="deep-split-2"/>
    <w:p>
      <w:pPr>
        <w:pStyle w:val="Heading2"/>
      </w:pPr>
      <w:r>
        <w:rPr>
          <w:rStyle w:val="SectionNumber"/>
        </w:rPr>
        <w:t xml:space="preserve">3.2</w:t>
      </w:r>
      <w:r>
        <w:tab/>
      </w:r>
      <w:r>
        <w:t xml:space="preserve">Deep Split: 2</w:t>
      </w:r>
    </w:p>
    <w:p>
      <w:pPr>
        <w:pStyle w:val="FirstParagraph"/>
      </w:pPr>
    </w:p>
    <w:p>
      <w:pPr>
        <w:pStyle w:val="TableCaption"/>
      </w:pPr>
      <w:bookmarkStart w:id="37" w:name="tab:unnamed-chunk-5"/>
      <w:bookmarkEnd w:id="37"/>
      <w:r>
        <w:t xml:space="preserve">Table S3:</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3,580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6,440</w:t>
            </w:r>
          </w:p>
        </w:tc>
      </w:tr>
    </w:tbl>
    <w:p>
      <w:pPr>
        <w:pStyle w:val="BodyText"/>
      </w:pPr>
    </w:p>
    <w:p>
      <w:pPr>
        <w:pStyle w:val="TableCaption"/>
      </w:pPr>
      <w:bookmarkStart w:id="38" w:name="tab:unnamed-chunk-6"/>
      <w:bookmarkEnd w:id="38"/>
      <w:r>
        <w:t xml:space="preserve">Table S4:</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2,653</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2,515</w:t>
            </w:r>
          </w:p>
        </w:tc>
      </w:tr>
    </w:tbl>
    <w:p>
      <w:pPr>
        <w:pStyle w:val="BodyText"/>
      </w:pPr>
    </w:p>
    <w:bookmarkEnd w:id="39"/>
    <w:bookmarkStart w:id="42" w:name="deep-split-3"/>
    <w:p>
      <w:pPr>
        <w:pStyle w:val="Heading2"/>
      </w:pPr>
      <w:r>
        <w:rPr>
          <w:rStyle w:val="SectionNumber"/>
        </w:rPr>
        <w:t xml:space="preserve">3.3</w:t>
      </w:r>
      <w:r>
        <w:tab/>
      </w:r>
      <w:r>
        <w:t xml:space="preserve">Deep Split: 3</w:t>
      </w:r>
    </w:p>
    <w:p>
      <w:pPr>
        <w:pStyle w:val="FirstParagraph"/>
      </w:pPr>
    </w:p>
    <w:p>
      <w:pPr>
        <w:pStyle w:val="TableCaption"/>
      </w:pPr>
      <w:bookmarkStart w:id="40" w:name="tab:unnamed-chunk-7"/>
      <w:bookmarkEnd w:id="40"/>
      <w:r>
        <w:t xml:space="preserve">Table S5:</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4,253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7,540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5,954</w:t>
            </w:r>
          </w:p>
        </w:tc>
      </w:tr>
    </w:tbl>
    <w:p>
      <w:pPr>
        <w:pStyle w:val="BodyText"/>
      </w:pPr>
    </w:p>
    <w:p>
      <w:pPr>
        <w:pStyle w:val="TableCaption"/>
      </w:pPr>
      <w:bookmarkStart w:id="41" w:name="tab:unnamed-chunk-8"/>
      <w:bookmarkEnd w:id="41"/>
      <w:r>
        <w:t xml:space="preserve">Table S6:</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1,965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2,123</w:t>
            </w:r>
          </w:p>
        </w:tc>
      </w:tr>
    </w:tbl>
    <w:p>
      <w:pPr>
        <w:pStyle w:val="BodyText"/>
      </w:pPr>
    </w:p>
    <w:bookmarkEnd w:id="42"/>
    <w:bookmarkStart w:id="45" w:name="deep-split-4"/>
    <w:p>
      <w:pPr>
        <w:pStyle w:val="Heading2"/>
      </w:pPr>
      <w:r>
        <w:rPr>
          <w:rStyle w:val="SectionNumber"/>
        </w:rPr>
        <w:t xml:space="preserve">3.4</w:t>
      </w:r>
      <w:r>
        <w:tab/>
      </w:r>
      <w:r>
        <w:t xml:space="preserve">Deep Split: 4</w:t>
      </w:r>
    </w:p>
    <w:p>
      <w:pPr>
        <w:pStyle w:val="FirstParagraph"/>
      </w:pPr>
    </w:p>
    <w:p>
      <w:pPr>
        <w:pStyle w:val="TableCaption"/>
      </w:pPr>
      <w:bookmarkStart w:id="43" w:name="tab:unnamed-chunk-9"/>
      <w:bookmarkEnd w:id="43"/>
      <w:r>
        <w:t xml:space="preserve">Table S7:</w:t>
      </w:r>
      <w:r>
        <w:t xml:space="preserve"> </w:t>
      </w:r>
      <w:r>
        <w:t xml:space="preserve">Estimates and diagnostics for the Zipf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4,117</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7,188</w:t>
            </w:r>
          </w:p>
        </w:tc>
      </w:tr>
    </w:tbl>
    <w:p>
      <w:pPr>
        <w:pStyle w:val="BodyText"/>
      </w:pPr>
    </w:p>
    <w:p>
      <w:pPr>
        <w:pStyle w:val="TableCaption"/>
      </w:pPr>
      <w:bookmarkStart w:id="44" w:name="tab:unnamed-chunk-10"/>
      <w:bookmarkEnd w:id="44"/>
      <w:r>
        <w:t xml:space="preserve">Table S8:</w:t>
      </w:r>
      <w:r>
        <w:t xml:space="preserve"> </w:t>
      </w:r>
      <w:r>
        <w:t xml:space="preserve">Estimates and diagnostics for the Zipf-Mandelbrot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2,879</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2,774</w:t>
            </w:r>
          </w:p>
        </w:tc>
      </w:tr>
    </w:tbl>
    <w:p>
      <w:pPr>
        <w:pStyle w:val="BodyText"/>
      </w:pPr>
    </w:p>
    <w:bookmarkEnd w:id="45"/>
    <w:bookmarkStart w:id="48" w:name="analysis-by-year"/>
    <w:p>
      <w:pPr>
        <w:pStyle w:val="Heading2"/>
      </w:pPr>
      <w:r>
        <w:rPr>
          <w:rStyle w:val="SectionNumber"/>
        </w:rPr>
        <w:t xml:space="preserve">3.5</w:t>
      </w:r>
      <w:r>
        <w:tab/>
      </w:r>
      <w:r>
        <w:t xml:space="preserve">Analysis by Year</w:t>
      </w:r>
    </w:p>
    <w:p>
      <w:pPr>
        <w:pStyle w:val="FirstParagraph"/>
      </w:pPr>
    </w:p>
    <w:p>
      <w:pPr>
        <w:pStyle w:val="TableCaption"/>
      </w:pPr>
      <w:bookmarkStart w:id="46" w:name="tab:unnamed-chunk-11"/>
      <w:bookmarkEnd w:id="46"/>
      <w:r>
        <w:t xml:space="preserve">Table S9:</w:t>
      </w:r>
      <w:r>
        <w:t xml:space="preserve"> </w:t>
      </w:r>
      <w:r>
        <w:t xml:space="preserve">ΔWAIC comparing the fit of Zipf-Mandelbrot to Zipf's law separately to the data from each year at each level of deep split. Zipf-Mandelbrot provides a better fit in all conditions.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-5,518</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-4,813</w:t>
            </w:r>
          </w:p>
        </w:tc>
      </w:tr>
    </w:tbl>
    <w:p>
      <w:pPr>
        <w:pStyle w:val="BodyText"/>
      </w:pPr>
    </w:p>
    <w:p>
      <w:pPr>
        <w:pStyle w:val="TableCaption"/>
      </w:pPr>
      <w:bookmarkStart w:id="47" w:name="tab:unnamed-chunk-12"/>
      <w:bookmarkEnd w:id="47"/>
      <w:r>
        <w:t xml:space="preserve">Table S10:</w:t>
      </w:r>
      <w:r>
        <w:t xml:space="preserve"> </w:t>
      </w:r>
      <w:r>
        <w:t xml:space="preserve">The R² for the Zipf-Mandelbrot distribution fit separately to the data from each year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0.996</w:t>
            </w:r>
          </w:p>
        </w:tc>
      </w:tr>
    </w:tbl>
    <w:p>
      <w:pPr>
        <w:pStyle w:val="BodyText"/>
      </w:pPr>
    </w:p>
    <w:bookmarkEnd w:id="48"/>
    <w:bookmarkEnd w:id="49"/>
    <w:bookmarkStart w:id="59" w:name="zipfs-law-of-abbreviation"/>
    <w:p>
      <w:pPr>
        <w:pStyle w:val="Heading1"/>
      </w:pPr>
      <w:r>
        <w:rPr>
          <w:rStyle w:val="SectionNumber"/>
        </w:rPr>
        <w:t xml:space="preserve">4</w:t>
      </w:r>
      <w:r>
        <w:tab/>
      </w:r>
      <w:r>
        <w:t xml:space="preserve">Zipf’s Law of Abbreviation</w:t>
      </w:r>
    </w:p>
    <w:p>
      <w:pPr>
        <w:pStyle w:val="CaptionedFigure"/>
      </w:pPr>
      <w:r>
        <w:drawing>
          <wp:inline>
            <wp:extent cx="5943600" cy="3845858"/>
            <wp:effectExtent b="0" l="0" r="0" t="0"/>
            <wp:docPr descr="Figure S3: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 title="" id="51" name="Picture"/>
            <a:graphic>
              <a:graphicData uri="http://schemas.openxmlformats.org/drawingml/2006/picture">
                <pic:pic>
                  <pic:nvPicPr>
                    <pic:cNvPr descr="../plots/dists.png" id="52" name="Picture"/>
                    <pic:cNvPicPr>
                      <a:picLocks noChangeArrowheads="1" noChangeAspect="1"/>
                    </pic:cNvPicPr>
                  </pic:nvPicPr>
                  <pic:blipFill>
                    <a:blip r:embed="rId50"/>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bookmarkStart w:id="53" w:name="fig:figure-zipf-abbr"/>
      <w:bookmarkEnd w:id="53"/>
      <w:r>
        <w:t xml:space="preserve">Figure S3: The relationship between four measures of production cost (x-axis) and count (y-axis) for each level of deep split (left, center, right). Each point shows the median value for a syllable type, so the orange best fit lines are from a simple Poisson model (count ~ cost) rather than the full log-normal model.</w:t>
      </w:r>
    </w:p>
    <w:bookmarkStart w:id="56" w:name="priors-and-diagnostics-1"/>
    <w:p>
      <w:pPr>
        <w:pStyle w:val="Heading2"/>
      </w:pPr>
      <w:r>
        <w:rPr>
          <w:rStyle w:val="SectionNumber"/>
        </w:rPr>
        <w:t xml:space="preserve">4.1</w:t>
      </w:r>
      <w:r>
        <w:tab/>
      </w:r>
      <w:r>
        <w:t xml:space="preserve">Priors and Diagnostics</w:t>
      </w:r>
    </w:p>
    <w:p>
      <w:pPr>
        <w:pStyle w:val="FirstParagraph"/>
      </w:pPr>
    </w:p>
    <w:p>
      <w:pPr>
        <w:pStyle w:val="TableCaption"/>
      </w:pPr>
      <w:bookmarkStart w:id="54" w:name="tab:unnamed-chunk-13"/>
      <w:bookmarkEnd w:id="54"/>
      <w:r>
        <w:t xml:space="preserve">Table S11:</w:t>
      </w:r>
      <w:r>
        <w:t xml:space="preserve"> </w:t>
      </w:r>
      <w:r>
        <w:t xml:space="preserve">Prior specification for all four models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55" w:name="tab:unnamed-chunk-14"/>
      <w:bookmarkEnd w:id="55"/>
      <w:r>
        <w:t xml:space="preserve">Table S12:</w:t>
      </w:r>
      <w:r>
        <w:t xml:space="preserve"> </w:t>
      </w:r>
      <w:r>
        <w:t xml:space="preserve">The model diagnostics for each model of Zipf's law of abbreviation.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 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 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1,069</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597</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406</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2,059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2,695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2,561</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3,209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1,469</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1,620</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1,398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1,592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771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Count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956</w:t>
            </w:r>
          </w:p>
        </w:tc>
      </w:tr>
    </w:tbl>
    <w:p>
      <w:pPr>
        <w:pStyle w:val="BodyText"/>
      </w:pPr>
    </w:p>
    <w:bookmarkEnd w:id="56"/>
    <w:bookmarkStart w:id="58" w:name="analysis-by-year-1"/>
    <w:p>
      <w:pPr>
        <w:pStyle w:val="Heading2"/>
      </w:pPr>
      <w:r>
        <w:rPr>
          <w:rStyle w:val="SectionNumber"/>
        </w:rPr>
        <w:t xml:space="preserve">4.2</w:t>
      </w:r>
      <w:r>
        <w:tab/>
      </w:r>
      <w:r>
        <w:t xml:space="preserve">Analysis by Year</w:t>
      </w:r>
    </w:p>
    <w:p>
      <w:pPr>
        <w:pStyle w:val="FirstParagraph"/>
      </w:pPr>
    </w:p>
    <w:p>
      <w:pPr>
        <w:pStyle w:val="TableCaption"/>
      </w:pPr>
      <w:bookmarkStart w:id="57" w:name="tab:unnamed-chunk-15"/>
      <w:bookmarkEnd w:id="57"/>
      <w:r>
        <w:t xml:space="preserve">Table S13:</w:t>
      </w:r>
      <w:r>
        <w:t xml:space="preserve"> </w:t>
      </w:r>
      <w:r>
        <w:t xml:space="preserve">The estimated effect of count on each measure of production cost, in frequentist models that include year as a varying intercept, using the syllable classifications from each level of deep split. 95% confidence intervals that do not overlap with 0 are marked with an asterisk.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 ~ count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bandwidth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concavity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excursion ~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p>
      <w:pPr>
        <w:pStyle w:val="BodyText"/>
      </w:pPr>
    </w:p>
    <w:bookmarkEnd w:id="58"/>
    <w:bookmarkEnd w:id="59"/>
    <w:bookmarkStart w:id="66" w:name="menzeraths-law"/>
    <w:p>
      <w:pPr>
        <w:pStyle w:val="Heading1"/>
      </w:pPr>
      <w:r>
        <w:rPr>
          <w:rStyle w:val="SectionNumber"/>
        </w:rPr>
        <w:t xml:space="preserve">5</w:t>
      </w:r>
      <w:r>
        <w:tab/>
      </w:r>
      <w:r>
        <w:t xml:space="preserve">Menzerath’s Law</w:t>
      </w:r>
    </w:p>
    <w:bookmarkStart w:id="63" w:name="priors-and-diagnostics-2"/>
    <w:p>
      <w:pPr>
        <w:pStyle w:val="Heading2"/>
      </w:pPr>
      <w:r>
        <w:rPr>
          <w:rStyle w:val="SectionNumber"/>
        </w:rPr>
        <w:t xml:space="preserve">5.1</w:t>
      </w:r>
      <w:r>
        <w:tab/>
      </w:r>
      <w:r>
        <w:t xml:space="preserve">Priors and Diagnostics</w:t>
      </w:r>
    </w:p>
    <w:p>
      <w:pPr>
        <w:pStyle w:val="FirstParagraph"/>
      </w:pPr>
    </w:p>
    <w:p>
      <w:pPr>
        <w:pStyle w:val="TableCaption"/>
      </w:pPr>
      <w:bookmarkStart w:id="60" w:name="tab:unnamed-chunk-16"/>
      <w:bookmarkEnd w:id="60"/>
      <w:r>
        <w:t xml:space="preserve">Table S14:</w:t>
      </w:r>
      <w:r>
        <w:t xml:space="preserve"> </w:t>
      </w:r>
      <w:r>
        <w:t xml:space="preserve">Prior specification for the model of Menzerath's law.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sigma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61" w:name="tab:unnamed-chunk-17"/>
      <w:bookmarkEnd w:id="61"/>
      <w:r>
        <w:t xml:space="preserve">Table S15:</w:t>
      </w:r>
      <w:r>
        <w:t xml:space="preserve"> </w:t>
      </w:r>
      <w:r>
        <w:t xml:space="preserve">Estimates and diagnostics for the model of Menzerath's law applied to the real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7,103</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4,794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6,044</w:t>
            </w:r>
          </w:p>
        </w:tc>
      </w:tr>
    </w:tbl>
    <w:p>
      <w:pPr>
        <w:pStyle w:val="BodyText"/>
      </w:pPr>
    </w:p>
    <w:p>
      <w:pPr>
        <w:pStyle w:val="TableCaption"/>
      </w:pPr>
      <w:bookmarkStart w:id="62" w:name="tab:unnamed-chunk-18"/>
      <w:bookmarkEnd w:id="62"/>
      <w:r>
        <w:t xml:space="preserve">Table S16:</w:t>
      </w:r>
      <w:r>
        <w:t xml:space="preserve"> </w:t>
      </w:r>
      <w:r>
        <w:t xml:space="preserve">The R-hat values from the two null models applied to each of the 10 simulated datasets.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Simple Null Model</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Production Null Model</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Dataset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Intercept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Song Length</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0.9998875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0.9996983</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1.000656</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0.9997542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1.000328</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1.0000627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0.9997787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1.001598</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0.9997391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1.000895</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1.0004971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0.9997567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1.000817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0.9999405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0.9998756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1.000332</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0.9999780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0.9998101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1.001533</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1.0005872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0.9998251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1.000225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0.9999938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0.9997752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1.001099</w:t>
            </w:r>
          </w:p>
        </w:tc>
      </w:tr>
      <w:tr>
        <w:trPr>
          <w:trHeight w:val="360" w:hRule="auto"/>
        </w:trPr>
        body10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0.9997444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0.9998224</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1.0001865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1.002680</w:t>
            </w:r>
          </w:p>
        </w:tc>
      </w:tr>
    </w:tbl>
    <w:p>
      <w:pPr>
        <w:pStyle w:val="BodyText"/>
      </w:pPr>
    </w:p>
    <w:bookmarkEnd w:id="63"/>
    <w:bookmarkStart w:id="65" w:name="analysis-by-year-2"/>
    <w:p>
      <w:pPr>
        <w:pStyle w:val="Heading2"/>
      </w:pPr>
      <w:r>
        <w:rPr>
          <w:rStyle w:val="SectionNumber"/>
        </w:rPr>
        <w:t xml:space="preserve">5.2</w:t>
      </w:r>
      <w:r>
        <w:tab/>
      </w:r>
      <w:r>
        <w:t xml:space="preserve">Analysis by Year</w:t>
      </w:r>
    </w:p>
    <w:p>
      <w:pPr>
        <w:pStyle w:val="FirstParagraph"/>
      </w:pPr>
    </w:p>
    <w:p>
      <w:pPr>
        <w:pStyle w:val="TableCaption"/>
      </w:pPr>
      <w:bookmarkStart w:id="64" w:name="tab:unnamed-chunk-19"/>
      <w:bookmarkEnd w:id="64"/>
      <w:r>
        <w:t xml:space="preserve">Table S17:</w:t>
      </w:r>
      <w:r>
        <w:t xml:space="preserve"> </w:t>
      </w:r>
      <w:r>
        <w:t xml:space="preserve">Estimates for a frequentist version of the model of Menzerath's law applied to the real data, with year added as a varying intercept. The results are qualitatively identical to the main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4.600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 Length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-0.033</w:t>
            </w:r>
          </w:p>
        </w:tc>
      </w:tr>
    </w:tbl>
    <w:p>
      <w:pPr>
        <w:pStyle w:val="BodyText"/>
      </w:pPr>
    </w:p>
    <w:bookmarkEnd w:id="65"/>
    <w:bookmarkEnd w:id="66"/>
    <w:bookmarkStart w:id="69" w:name="small-worldness-index"/>
    <w:p>
      <w:pPr>
        <w:pStyle w:val="Heading1"/>
      </w:pPr>
      <w:r>
        <w:rPr>
          <w:rStyle w:val="SectionNumber"/>
        </w:rPr>
        <w:t xml:space="preserve">6</w:t>
      </w:r>
      <w:r>
        <w:tab/>
      </w:r>
      <w:r>
        <w:t xml:space="preserve">Small-Worldness Index</w:t>
      </w:r>
    </w:p>
    <w:bookmarkStart w:id="68" w:name="analysis-by-year-3"/>
    <w:p>
      <w:pPr>
        <w:pStyle w:val="Heading2"/>
      </w:pPr>
      <w:r>
        <w:rPr>
          <w:rStyle w:val="SectionNumber"/>
        </w:rPr>
        <w:t xml:space="preserve">6.1</w:t>
      </w:r>
      <w:r>
        <w:tab/>
      </w:r>
      <w:r>
        <w:t xml:space="preserve">Analysis by Year</w:t>
      </w:r>
    </w:p>
    <w:p>
      <w:pPr>
        <w:pStyle w:val="FirstParagraph"/>
      </w:pPr>
    </w:p>
    <w:p>
      <w:pPr>
        <w:pStyle w:val="TableCaption"/>
      </w:pPr>
      <w:bookmarkStart w:id="67" w:name="tab:unnamed-chunk-20"/>
      <w:bookmarkEnd w:id="67"/>
      <w:r>
        <w:t xml:space="preserve">Table S18:</w:t>
      </w:r>
      <w:r>
        <w:t xml:space="preserve"> </w:t>
      </w:r>
      <w:r>
        <w:t xml:space="preserve">The small-worldness index computed separately from the data from each year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 4</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5.58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10.45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13.34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14.30</w:t>
            </w:r>
          </w:p>
        </w:tc>
      </w:tr>
    </w:tbl>
    <w:p>
      <w:pPr>
        <w:pStyle w:val="BodyText"/>
      </w:pPr>
    </w:p>
    <w:bookmarkEnd w:id="68"/>
    <w:bookmarkEnd w:id="69"/>
    <w:bookmarkStart w:id="88" w:name="mutual-information"/>
    <w:p>
      <w:pPr>
        <w:pStyle w:val="Heading1"/>
      </w:pPr>
      <w:r>
        <w:rPr>
          <w:rStyle w:val="SectionNumber"/>
        </w:rPr>
        <w:t xml:space="preserve">7</w:t>
      </w:r>
      <w:r>
        <w:tab/>
      </w:r>
      <w:r>
        <w:t xml:space="preserve">Mutual Information</w:t>
      </w:r>
    </w:p>
    <w:p>
      <w:pPr>
        <w:pStyle w:val="FirstParagraph"/>
      </w:pPr>
    </w:p>
    <w:p>
      <w:pPr>
        <w:pStyle w:val="TableCaption"/>
      </w:pPr>
      <w:bookmarkStart w:id="70" w:name="tab:mi-table"/>
      <w:bookmarkEnd w:id="70"/>
      <w:r>
        <w:t xml:space="preserve">Table S19:</w:t>
      </w:r>
      <w:r>
        <w:t xml:space="preserve"> </w:t>
      </w:r>
      <w:r>
        <w:t xml:space="preserve">The WAIC and R-Squared value for each model at each level of deep split.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WAIC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R-Sq</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0.910</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0.952</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0.982</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0.986</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Exponential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0.990</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Power-Law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0.926</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Composite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0.993</w:t>
            </w:r>
          </w:p>
        </w:tc>
      </w:tr>
    </w:tbl>
    <w:p>
      <w:pPr>
        <w:pStyle w:val="BodyText"/>
      </w:pPr>
    </w:p>
    <w:bookmarkStart w:id="73" w:name="priors-and-diagnostics-3"/>
    <w:p>
      <w:pPr>
        <w:pStyle w:val="Heading2"/>
      </w:pPr>
      <w:r>
        <w:rPr>
          <w:rStyle w:val="SectionNumber"/>
        </w:rPr>
        <w:t xml:space="preserve">7.1</w:t>
      </w:r>
      <w:r>
        <w:tab/>
      </w:r>
      <w:r>
        <w:t xml:space="preserve">Priors and Diagnostics</w:t>
      </w:r>
    </w:p>
    <w:p>
      <w:pPr>
        <w:pStyle w:val="FirstParagraph"/>
      </w:pPr>
    </w:p>
    <w:p>
      <w:pPr>
        <w:pStyle w:val="TableCaption"/>
      </w:pPr>
      <w:bookmarkStart w:id="71" w:name="tab:unnamed-chunk-21"/>
      <w:bookmarkEnd w:id="71"/>
      <w:r>
        <w:t xml:space="preserve">Table S20:</w:t>
      </w:r>
      <w:r>
        <w:t xml:space="preserve"> </w:t>
      </w:r>
      <w:r>
        <w:t xml:space="preserve">Prior specification for all three models of mutual information decay.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Prior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Lower Bound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normal(0,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w:t>
            </w:r>
          </w:p>
        </w:tc>
      </w:tr>
    </w:tbl>
    <w:p>
      <w:pPr>
        <w:pStyle w:val="BodyText"/>
      </w:pPr>
    </w:p>
    <w:p>
      <w:pPr>
        <w:pStyle w:val="TableCaption"/>
      </w:pPr>
      <w:bookmarkStart w:id="72" w:name="tab:unnamed-chunk-22"/>
      <w:bookmarkEnd w:id="72"/>
      <w:r>
        <w:t xml:space="preserve">Table S21:</w:t>
      </w:r>
      <w:r>
        <w:t xml:space="preserve"> </w:t>
      </w:r>
      <w:r>
        <w:t xml:space="preserve">The WAIC values for each model, at each level of deep split, for increasing maximum distances between syllables.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3</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4</w:t>
            </w:r>
          </w:p>
        </w:tc>
      </w:tr>
      <w:tr>
        <w:trPr>
          <w:trHeight w:val="360" w:hRule="auto"/>
          <w:tblHeader/>
        </w:trPr>
        header 2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w:t>
            </w:r>
          </w:p>
        </w:tc>
      </w:tr>
      <w:tr>
        <w:trPr>
          <w:trHeight w:val="360" w:hRule="auto"/>
        </w:trPr>
        body 1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-765</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-841</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-486</w:t>
            </w:r>
          </w:p>
        </w:tc>
        <w:tc>
          <w:tcPr>
            <w:tcBorders>
              <w:bottom w:val="single" w:sz="6"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-668</w:t>
            </w:r>
          </w:p>
        </w:tc>
        <w:tc>
          <w:tcPr>
            <w:tcBorders>
              <w:bottom w:val="single" w:sz="6"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-688</w:t>
            </w:r>
          </w:p>
        </w:tc>
      </w:tr>
      <w:tr>
        <w:trPr>
          <w:trHeight w:val="360" w:hRule="auto"/>
        </w:trPr>
        body 2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-1,513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-1,068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-1,281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-1,267</w:t>
            </w:r>
          </w:p>
        </w:tc>
      </w:tr>
      <w:tr>
        <w:trPr>
          <w:trHeight w:val="360" w:hRule="auto"/>
        </w:trPr>
        body 3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-2,114</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-1,555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-1,695</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-1,686</w:t>
            </w:r>
          </w:p>
        </w:tc>
      </w:tr>
      <w:tr>
        <w:trPr>
          <w:trHeight w:val="360" w:hRule="auto"/>
        </w:trPr>
        body 4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-2,712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-2,131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-2,142</w:t>
            </w:r>
          </w:p>
        </w:tc>
      </w:tr>
      <w:tr>
        <w:trPr>
          <w:trHeight w:val="360" w:hRule="auto"/>
        </w:trPr>
        body 5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-3,073</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-2,093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-2,276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r>
      <w:tr>
        <w:trPr>
          <w:trHeight w:val="360" w:hRule="auto"/>
        </w:trPr>
        body 6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-2,527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-2,639</w:t>
            </w:r>
          </w:p>
        </w:tc>
      </w:tr>
      <w:tr>
        <w:trPr>
          <w:trHeight w:val="360" w:hRule="auto"/>
        </w:trPr>
        body 7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-3,430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-3,471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-2,539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-2,669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-2,901</w:t>
            </w:r>
          </w:p>
        </w:tc>
      </w:tr>
      <w:tr>
        <w:trPr>
          <w:trHeight w:val="360" w:hRule="auto"/>
        </w:trPr>
        body 8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-3,734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-3,766</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-2,598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-2,485</w:t>
            </w:r>
          </w:p>
        </w:tc>
      </w:tr>
      <w:tr>
        <w:trPr>
          <w:trHeight w:val="360" w:hRule="auto"/>
        </w:trPr>
        body 9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900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-3,801</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-2,379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-2,467</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-1,886</w:t>
            </w:r>
          </w:p>
        </w:tc>
      </w:tr>
      <w:tr>
        <w:trPr>
          <w:trHeight w:val="360" w:hRule="auto"/>
        </w:trPr>
        body10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1000</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-3,931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-3,942</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-2,350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-2,408</w:t>
            </w:r>
          </w:p>
        </w:tc>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-1,654</w:t>
            </w:r>
          </w:p>
        </w:tc>
      </w:tr>
      <w:tr>
        <w:trPr>
          <w:trHeight w:val="360" w:hRule="auto"/>
        </w:trPr>
        body11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1200</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-3,175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-3,244</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-3,246</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-1,483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-1,711</w:t>
            </w:r>
          </w:p>
        </w:tc>
        <w:tc>
          <w:tcPr>
            <w:tcBorders>
              <w:bottom w:val="single" w:sz="12"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-1,731</w:t>
            </w:r>
          </w:p>
        </w:tc>
        <w:tc>
          <w:tcPr>
            <w:tcBorders>
              <w:bottom w:val="single" w:sz="12"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-823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-1,104</w:t>
            </w:r>
          </w:p>
        </w:tc>
      </w:tr>
    </w:tbl>
    <w:p>
      <w:pPr>
        <w:pStyle w:val="BodyText"/>
      </w:pPr>
    </w:p>
    <w:bookmarkEnd w:id="73"/>
    <w:bookmarkStart w:id="77" w:name="deep-split-2-1"/>
    <w:p>
      <w:pPr>
        <w:pStyle w:val="Heading2"/>
      </w:pPr>
      <w:r>
        <w:rPr>
          <w:rStyle w:val="SectionNumber"/>
        </w:rPr>
        <w:t xml:space="preserve">7.2</w:t>
      </w:r>
      <w:r>
        <w:tab/>
      </w:r>
      <w:r>
        <w:t xml:space="preserve">Deep Split: 2</w:t>
      </w:r>
    </w:p>
    <w:p>
      <w:pPr>
        <w:pStyle w:val="FirstParagraph"/>
      </w:pPr>
    </w:p>
    <w:p>
      <w:pPr>
        <w:pStyle w:val="TableCaption"/>
      </w:pPr>
      <w:bookmarkStart w:id="74" w:name="tab:unnamed-chunk-23"/>
      <w:bookmarkEnd w:id="74"/>
      <w:r>
        <w:t xml:space="preserve">Table S22:</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4,996</w:t>
            </w:r>
          </w:p>
        </w:tc>
      </w:tr>
    </w:tbl>
    <w:p>
      <w:pPr>
        <w:pStyle w:val="BodyText"/>
      </w:pPr>
    </w:p>
    <w:p>
      <w:pPr>
        <w:pStyle w:val="TableCaption"/>
      </w:pPr>
      <w:bookmarkStart w:id="75" w:name="tab:unnamed-chunk-24"/>
      <w:bookmarkEnd w:id="75"/>
      <w:r>
        <w:t xml:space="preserve">Table S23:</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6,738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7,059</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6,285</w:t>
            </w:r>
          </w:p>
        </w:tc>
      </w:tr>
    </w:tbl>
    <w:p>
      <w:pPr>
        <w:pStyle w:val="BodyText"/>
      </w:pPr>
    </w:p>
    <w:p>
      <w:pPr>
        <w:pStyle w:val="TableCaption"/>
      </w:pPr>
      <w:bookmarkStart w:id="76" w:name="tab:unnamed-chunk-25"/>
      <w:bookmarkEnd w:id="76"/>
      <w:r>
        <w:t xml:space="preserve">Table S24:</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3,354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3,685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4,387</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2,579</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3,237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2,798</w:t>
            </w:r>
          </w:p>
        </w:tc>
      </w:tr>
    </w:tbl>
    <w:p>
      <w:pPr>
        <w:pStyle w:val="BodyText"/>
      </w:pPr>
    </w:p>
    <w:bookmarkEnd w:id="77"/>
    <w:bookmarkStart w:id="81" w:name="deep-split-3-1"/>
    <w:p>
      <w:pPr>
        <w:pStyle w:val="Heading2"/>
      </w:pPr>
      <w:r>
        <w:rPr>
          <w:rStyle w:val="SectionNumber"/>
        </w:rPr>
        <w:t xml:space="preserve">7.3</w:t>
      </w:r>
      <w:r>
        <w:tab/>
      </w:r>
      <w:r>
        <w:t xml:space="preserve">Deep Split: 3</w:t>
      </w:r>
    </w:p>
    <w:p>
      <w:pPr>
        <w:pStyle w:val="FirstParagraph"/>
      </w:pPr>
    </w:p>
    <w:p>
      <w:pPr>
        <w:pStyle w:val="TableCaption"/>
      </w:pPr>
      <w:bookmarkStart w:id="78" w:name="tab:unnamed-chunk-26"/>
      <w:bookmarkEnd w:id="78"/>
      <w:r>
        <w:t xml:space="preserve">Table S25:</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5,343</w:t>
            </w:r>
          </w:p>
        </w:tc>
      </w:tr>
    </w:tbl>
    <w:p>
      <w:pPr>
        <w:pStyle w:val="BodyText"/>
      </w:pPr>
    </w:p>
    <w:p>
      <w:pPr>
        <w:pStyle w:val="TableCaption"/>
      </w:pPr>
      <w:bookmarkStart w:id="79" w:name="tab:unnamed-chunk-27"/>
      <w:bookmarkEnd w:id="79"/>
      <w:r>
        <w:t xml:space="preserve">Table S26:</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5,998</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7,055</w:t>
            </w:r>
          </w:p>
        </w:tc>
      </w:tr>
    </w:tbl>
    <w:p>
      <w:pPr>
        <w:pStyle w:val="BodyText"/>
      </w:pPr>
    </w:p>
    <w:p>
      <w:pPr>
        <w:pStyle w:val="TableCaption"/>
      </w:pPr>
      <w:bookmarkStart w:id="80" w:name="tab:unnamed-chunk-28"/>
      <w:bookmarkEnd w:id="80"/>
      <w:r>
        <w:t xml:space="preserve">Table S27:</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3,907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4,896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4,646</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2,864</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2,978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3,096</w:t>
            </w:r>
          </w:p>
        </w:tc>
      </w:tr>
    </w:tbl>
    <w:p>
      <w:pPr>
        <w:pStyle w:val="BodyText"/>
      </w:pPr>
    </w:p>
    <w:bookmarkEnd w:id="81"/>
    <w:bookmarkStart w:id="85" w:name="deep-split-4-1"/>
    <w:p>
      <w:pPr>
        <w:pStyle w:val="Heading2"/>
      </w:pPr>
      <w:r>
        <w:rPr>
          <w:rStyle w:val="SectionNumber"/>
        </w:rPr>
        <w:t xml:space="preserve">7.4</w:t>
      </w:r>
      <w:r>
        <w:tab/>
      </w:r>
      <w:r>
        <w:t xml:space="preserve">Deep Split: 4</w:t>
      </w:r>
    </w:p>
    <w:p>
      <w:pPr>
        <w:pStyle w:val="FirstParagraph"/>
      </w:pPr>
    </w:p>
    <w:p>
      <w:pPr>
        <w:pStyle w:val="TableCaption"/>
      </w:pPr>
      <w:bookmarkStart w:id="82" w:name="tab:unnamed-chunk-29"/>
      <w:bookmarkEnd w:id="82"/>
      <w:r>
        <w:t xml:space="preserve">Table S28:</w:t>
      </w:r>
      <w:r>
        <w:t xml:space="preserve"> </w:t>
      </w:r>
      <w:r>
        <w:t xml:space="preserve">Estimates and diagnostics for exponential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4,572</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5,362</w:t>
            </w:r>
          </w:p>
        </w:tc>
      </w:tr>
    </w:tbl>
    <w:p>
      <w:pPr>
        <w:pStyle w:val="BodyText"/>
      </w:pPr>
    </w:p>
    <w:p>
      <w:pPr>
        <w:pStyle w:val="TableCaption"/>
      </w:pPr>
      <w:bookmarkStart w:id="83" w:name="tab:unnamed-chunk-30"/>
      <w:bookmarkEnd w:id="83"/>
      <w:r>
        <w:t xml:space="preserve">Table S29:</w:t>
      </w:r>
      <w:r>
        <w:t xml:space="preserve"> </w:t>
      </w:r>
      <w:r>
        <w:t xml:space="preserve">Estimates and diagnostics for power-law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6,785</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6,638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6,848</w:t>
            </w:r>
          </w:p>
        </w:tc>
      </w:tr>
    </w:tbl>
    <w:p>
      <w:pPr>
        <w:pStyle w:val="BodyText"/>
      </w:pPr>
    </w:p>
    <w:p>
      <w:pPr>
        <w:pStyle w:val="TableCaption"/>
      </w:pPr>
      <w:bookmarkStart w:id="84" w:name="tab:unnamed-chunk-31"/>
      <w:bookmarkEnd w:id="84"/>
      <w:r>
        <w:t xml:space="preserve">Table S30:</w:t>
      </w:r>
      <w:r>
        <w:t xml:space="preserve"> </w:t>
      </w:r>
      <w:r>
        <w:t xml:space="preserve">Estimates and diagnostics for composite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Param.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Tail_ESS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2,851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4,959</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2,760</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2,360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2,726</w:t>
            </w:r>
          </w:p>
        </w:tc>
      </w:tr>
    </w:tbl>
    <w:p>
      <w:pPr>
        <w:pStyle w:val="BodyText"/>
      </w:pPr>
    </w:p>
    <w:bookmarkEnd w:id="85"/>
    <w:bookmarkStart w:id="87" w:name="analysis-by-year-4"/>
    <w:p>
      <w:pPr>
        <w:pStyle w:val="Heading2"/>
      </w:pPr>
      <w:r>
        <w:rPr>
          <w:rStyle w:val="SectionNumber"/>
        </w:rPr>
        <w:t xml:space="preserve">7.5</w:t>
      </w:r>
      <w:r>
        <w:tab/>
      </w:r>
      <w:r>
        <w:t xml:space="preserve">Analysis by Year</w:t>
      </w:r>
    </w:p>
    <w:p>
      <w:pPr>
        <w:pStyle w:val="FirstParagraph"/>
      </w:pPr>
    </w:p>
    <w:p>
      <w:pPr>
        <w:pStyle w:val="TableCaption"/>
      </w:pPr>
      <w:bookmarkStart w:id="86" w:name="tab:unnamed-chunk-32"/>
      <w:bookmarkEnd w:id="86"/>
      <w:r>
        <w:t xml:space="preserve">Table S31:</w:t>
      </w:r>
      <w:r>
        <w:t xml:space="preserve"> </w:t>
      </w:r>
      <w:r>
        <w:t xml:space="preserve">The WAIC values for the exponential, power-law, and composite models applied to the mutual information calculated separately from the data from each year at each level of deep split. The composite model outcompetes both alternatives in all conditions.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Exponential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Power-Law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Composite</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-656</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-564</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-571</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-725</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-607</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-640</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-671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-723</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-572</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-370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-587</w:t>
            </w:r>
          </w:p>
        </w:tc>
      </w:tr>
    </w:tbl>
    <w:bookmarkEnd w:id="87"/>
    <w:bookmarkEnd w:id="88"/>
    <w:bookmarkStart w:id="107" w:name="references"/>
    <w:p>
      <w:pPr>
        <w:pStyle w:val="Heading1"/>
      </w:pPr>
      <w:r>
        <w:t xml:space="preserve">References</w:t>
      </w:r>
    </w:p>
    <w:bookmarkStart w:id="106" w:name="refs"/>
    <w:bookmarkStart w:id="90" w:name="ref-Ju2019"/>
    <w:p>
      <w:pPr>
        <w:pStyle w:val="Bibliography"/>
      </w:pPr>
      <w:r>
        <w:t xml:space="preserve">1.</w:t>
      </w:r>
      <w:r>
        <w:t xml:space="preserve"> </w:t>
      </w:r>
      <w:r>
        <w:t xml:space="preserve">	</w:t>
      </w:r>
      <w:r>
        <w:t xml:space="preserve">Ju C, Geller FC, Mundinger PC, Lahti DC.</w:t>
      </w:r>
      <w:r>
        <w:t xml:space="preserve"> </w:t>
      </w:r>
      <w:hyperlink r:id="rId89">
        <w:r>
          <w:rPr>
            <w:rStyle w:val="Hyperlink"/>
          </w:rPr>
          <w:t xml:space="preserve">Four decades of cultural evolution in house finch songs</w:t>
        </w:r>
      </w:hyperlink>
      <w:r>
        <w:t xml:space="preserve">. The Auk: Ornithological Advances. 2019;136:1–18.</w:t>
      </w:r>
      <w:r>
        <w:t xml:space="preserve"> </w:t>
      </w:r>
    </w:p>
    <w:bookmarkEnd w:id="90"/>
    <w:bookmarkStart w:id="92" w:name="ref-Mundinger1975"/>
    <w:p>
      <w:pPr>
        <w:pStyle w:val="Bibliography"/>
      </w:pPr>
      <w:r>
        <w:t xml:space="preserve">2.</w:t>
      </w:r>
      <w:r>
        <w:t xml:space="preserve"> </w:t>
      </w:r>
      <w:r>
        <w:t xml:space="preserve">	</w:t>
      </w:r>
      <w:r>
        <w:t xml:space="preserve">Mundinger PC. Song dialects and colonization in the house finch, Carpodacus mexicanus, on the east coast. The Condor [Internet]. 1975;77(4):407–22. Available from:</w:t>
      </w:r>
      <w:r>
        <w:t xml:space="preserve"> </w:t>
      </w:r>
      <w:hyperlink r:id="rId91">
        <w:r>
          <w:rPr>
            <w:rStyle w:val="Hyperlink"/>
          </w:rPr>
          <w:t xml:space="preserve">https://doi.org/10.2307/1366088</w:t>
        </w:r>
      </w:hyperlink>
    </w:p>
    <w:bookmarkEnd w:id="92"/>
    <w:bookmarkStart w:id="94" w:name="ref-youngbloodContentBiasCultural2022"/>
    <w:p>
      <w:pPr>
        <w:pStyle w:val="Bibliography"/>
      </w:pPr>
      <w:r>
        <w:t xml:space="preserve">3.</w:t>
      </w:r>
      <w:r>
        <w:t xml:space="preserve"> </w:t>
      </w:r>
      <w:r>
        <w:t xml:space="preserve">	</w:t>
      </w:r>
      <w:r>
        <w:t xml:space="preserve">Youngblood M, Lahti D.</w:t>
      </w:r>
      <w:r>
        <w:t xml:space="preserve"> </w:t>
      </w:r>
      <w:hyperlink r:id="rId93">
        <w:r>
          <w:rPr>
            <w:rStyle w:val="Hyperlink"/>
          </w:rPr>
          <w:t xml:space="preserve">Content bias in the cultural evolution of house finch song</w:t>
        </w:r>
      </w:hyperlink>
      <w:r>
        <w:t xml:space="preserve">. Animal Behaviour. 2022;185:37–48.</w:t>
      </w:r>
      <w:r>
        <w:t xml:space="preserve"> </w:t>
      </w:r>
    </w:p>
    <w:bookmarkEnd w:id="94"/>
    <w:bookmarkStart w:id="96" w:name="ref-langfelder_etal08"/>
    <w:p>
      <w:pPr>
        <w:pStyle w:val="Bibliography"/>
      </w:pPr>
      <w:r>
        <w:t xml:space="preserve">4.</w:t>
      </w:r>
      <w:r>
        <w:t xml:space="preserve"> </w:t>
      </w:r>
      <w:r>
        <w:t xml:space="preserve">	</w:t>
      </w:r>
      <w:r>
        <w:t xml:space="preserve">Langfelder P, Zhang B, Horvath S. Defining clusters from a hierarchical cluster tree: the Dynamic Tree Cut package for R. Bioinformatics [Internet]. 2008 Mar 1 [cited 2023 Jun 2];24(5):719–20. Available from:</w:t>
      </w:r>
      <w:r>
        <w:t xml:space="preserve"> </w:t>
      </w:r>
      <w:hyperlink r:id="rId95">
        <w:r>
          <w:rPr>
            <w:rStyle w:val="Hyperlink"/>
          </w:rPr>
          <w:t xml:space="preserve">https://academic.oup.com/bioinformatics/article/24/5/719/200751</w:t>
        </w:r>
      </w:hyperlink>
    </w:p>
    <w:bookmarkEnd w:id="96"/>
    <w:bookmarkStart w:id="98" w:name="ref-ju16"/>
    <w:p>
      <w:pPr>
        <w:pStyle w:val="Bibliography"/>
      </w:pPr>
      <w:r>
        <w:t xml:space="preserve">5.</w:t>
      </w:r>
      <w:r>
        <w:t xml:space="preserve"> </w:t>
      </w:r>
      <w:r>
        <w:t xml:space="preserve">	</w:t>
      </w:r>
      <w:r>
        <w:t xml:space="preserve">Ju C. FinchCatcher [Internet]. Department of Biology, Queens College; 2016. Available from:</w:t>
      </w:r>
      <w:r>
        <w:t xml:space="preserve"> </w:t>
      </w:r>
      <w:hyperlink r:id="rId97">
        <w:r>
          <w:rPr>
            <w:rStyle w:val="Hyperlink"/>
          </w:rPr>
          <w:t xml:space="preserve">http://finchcatcher.net</w:t>
        </w:r>
      </w:hyperlink>
    </w:p>
    <w:bookmarkEnd w:id="98"/>
    <w:bookmarkStart w:id="99" w:name="ref-Roginek2018"/>
    <w:p>
      <w:pPr>
        <w:pStyle w:val="Bibliography"/>
      </w:pPr>
      <w:r>
        <w:t xml:space="preserve">6.</w:t>
      </w:r>
      <w:r>
        <w:t xml:space="preserve"> </w:t>
      </w:r>
      <w:r>
        <w:t xml:space="preserve">	</w:t>
      </w:r>
      <w:r>
        <w:t xml:space="preserve">Roginek EW. Spatial variation of house finch (Haemorhous mexicanus) song along the American Southwest coast. Queens College; 2018.</w:t>
      </w:r>
      <w:r>
        <w:t xml:space="preserve"> </w:t>
      </w:r>
    </w:p>
    <w:bookmarkEnd w:id="99"/>
    <w:bookmarkStart w:id="101" w:name="ref-liu_etal22"/>
    <w:p>
      <w:pPr>
        <w:pStyle w:val="Bibliography"/>
      </w:pPr>
      <w:r>
        <w:t xml:space="preserve">7.</w:t>
      </w:r>
      <w:r>
        <w:t xml:space="preserve"> </w:t>
      </w:r>
      <w:r>
        <w:t xml:space="preserve">	</w:t>
      </w:r>
      <w:r>
        <w:t xml:space="preserve">Liu S, Lu Y, Geng D. Molecular Subgroup Classification in Alzheimer’s Disease by Transcriptomic Profiles. J Mol Neurosci [Internet]. 2022 Apr 1 [cited 2023 Jun 2];72(4):866–79. Available from:</w:t>
      </w:r>
      <w:r>
        <w:t xml:space="preserve"> </w:t>
      </w:r>
      <w:hyperlink r:id="rId100">
        <w:r>
          <w:rPr>
            <w:rStyle w:val="Hyperlink"/>
          </w:rPr>
          <w:t xml:space="preserve">https://doi.org/10.1007/s12031-021-01957-w</w:t>
        </w:r>
      </w:hyperlink>
    </w:p>
    <w:bookmarkEnd w:id="101"/>
    <w:bookmarkStart w:id="103" w:name="ref-zhao_etal20"/>
    <w:p>
      <w:pPr>
        <w:pStyle w:val="Bibliography"/>
      </w:pPr>
      <w:r>
        <w:t xml:space="preserve">8.</w:t>
      </w:r>
      <w:r>
        <w:t xml:space="preserve"> </w:t>
      </w:r>
      <w:r>
        <w:t xml:space="preserve">	</w:t>
      </w:r>
      <w:r>
        <w:t xml:space="preserve">Zhao H, Zhang S, Shao S, Fang H. Identification of a Prognostic 3-Gene Risk Prediction Model for Thyroid Cancer. Frontiers in Endocrinology [Internet]. 2020 [cited 2023 Jun 2];11. Available from:</w:t>
      </w:r>
      <w:r>
        <w:t xml:space="preserve"> </w:t>
      </w:r>
      <w:hyperlink r:id="rId102">
        <w:r>
          <w:rPr>
            <w:rStyle w:val="Hyperlink"/>
          </w:rPr>
          <w:t xml:space="preserve">https://www.frontiersin.org/articles/10.3389/fendo.2020.00510</w:t>
        </w:r>
      </w:hyperlink>
    </w:p>
    <w:bookmarkEnd w:id="103"/>
    <w:bookmarkStart w:id="105" w:name="ref-burkett_etal15"/>
    <w:p>
      <w:pPr>
        <w:pStyle w:val="Bibliography"/>
      </w:pPr>
      <w:r>
        <w:t xml:space="preserve">9.</w:t>
      </w:r>
      <w:r>
        <w:t xml:space="preserve"> </w:t>
      </w:r>
      <w:r>
        <w:t xml:space="preserve">	</w:t>
      </w:r>
      <w:r>
        <w:t xml:space="preserve">Burkett ZD, Day NF, Peñagarikano O, Geschwind DH, White SA. VoICE: A semi-automated pipeline for standardizing vocal analysis across models. Sci Rep [Internet]. 2015 May 28 [cited 2023 Jun 2];5(1):10237. Available from:</w:t>
      </w:r>
      <w:r>
        <w:t xml:space="preserve"> </w:t>
      </w:r>
      <w:hyperlink r:id="rId104">
        <w:r>
          <w:rPr>
            <w:rStyle w:val="Hyperlink"/>
          </w:rPr>
          <w:t xml:space="preserve">https://www.nature.com/articles/srep10237</w:t>
        </w:r>
      </w:hyperlink>
    </w:p>
    <w:bookmarkEnd w:id="105"/>
    <w:bookmarkEnd w:id="106"/>
    <w:p>
      <w:pPr>
        <w:pStyle w:val="BodyText"/>
      </w:pPr>
    </w:p>
    <w:bookmarkEnd w:id="107"/>
    <w:sectPr w:rsidR="001D2B22">
      <w:headerReference r:id="rId9" w:type="even"/>
      <w:headerReference r:id="rId10" w:type="default"/>
      <w:footerReference r:id="rId13" w:type="even"/>
      <w:footerReference r:id="rId14" w:type="default"/>
      <w:headerReference r:id="rId11"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74CC991B"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A9F83"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4E5BC949"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3245DE7F"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A8D58" w14:textId="77777777" w:rsidR="00000000"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Minds</w:t>
      </w:r>
      <w:r>
        <w:t xml:space="preserve"> </w:t>
      </w:r>
      <w:r>
        <w:t xml:space="preserve">and</w:t>
      </w:r>
      <w:r>
        <w:t xml:space="preserve"> </w:t>
      </w:r>
      <w:r>
        <w:t xml:space="preserve">Traditions</w:t>
      </w:r>
      <w:r>
        <w:t xml:space="preserve"> </w:t>
      </w:r>
      <w:r>
        <w:t xml:space="preserve">Research</w:t>
      </w:r>
      <w:r>
        <w:t xml:space="preserve"> </w:t>
      </w:r>
      <w:r>
        <w:t xml:space="preserve">Group,</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Geoanthropology,</w:t>
      </w:r>
      <w:r>
        <w:t xml:space="preserve"> </w:t>
      </w:r>
      <w:hyperlink r:id="rId21">
        <w:r>
          <w:rPr>
            <w:rStyle w:val="Hyperlink"/>
          </w:rPr>
          <w:t xml:space="preserve">masonyoungblood@gmail.com</w:t>
        </w:r>
      </w:hyperlink>
    </w:p>
  </w:footnote>
  <w:footnote w:id="22">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871B"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243F"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D605" w14:textId="77777777" w:rsidR="00000000" w:rsidRDefault="00000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1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hyperlink" Id="rId97" Target="http://finchcatcher.net" TargetMode="External" /><Relationship Type="http://schemas.openxmlformats.org/officeDocument/2006/relationships/hyperlink" Id="rId95" Target="https://academic.oup.com/bioinformatics/article/24/5/719/200751" TargetMode="External" /><Relationship Type="http://schemas.openxmlformats.org/officeDocument/2006/relationships/hyperlink" Id="rId100" Target="https://doi.org/10.1007/s12031-021-01957-w" TargetMode="External" /><Relationship Type="http://schemas.openxmlformats.org/officeDocument/2006/relationships/hyperlink" Id="rId93" Target="https://doi.org/10.1016/j.anbehav.2021.12.012" TargetMode="External" /><Relationship Type="http://schemas.openxmlformats.org/officeDocument/2006/relationships/hyperlink" Id="rId89" Target="https://doi.org/10.1093/auk/uky012" TargetMode="External" /><Relationship Type="http://schemas.openxmlformats.org/officeDocument/2006/relationships/hyperlink" Id="rId91" Target="https://doi.org/10.2307/1366088" TargetMode="External" /><Relationship Type="http://schemas.openxmlformats.org/officeDocument/2006/relationships/hyperlink" Id="rId23" Target="https://rflachlan.github.io/Luscinia/" TargetMode="External" /><Relationship Type="http://schemas.openxmlformats.org/officeDocument/2006/relationships/hyperlink" Id="rId102" Target="https://www.frontiersin.org/articles/10.3389/fendo.2020.00510" TargetMode="External" /><Relationship Type="http://schemas.openxmlformats.org/officeDocument/2006/relationships/hyperlink" Id="rId104" Target="https://www.nature.com/articles/srep10237"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97" Target="http://finchcatcher.net" TargetMode="External" /><Relationship Type="http://schemas.openxmlformats.org/officeDocument/2006/relationships/hyperlink" Id="rId95" Target="https://academic.oup.com/bioinformatics/article/24/5/719/200751" TargetMode="External" /><Relationship Type="http://schemas.openxmlformats.org/officeDocument/2006/relationships/hyperlink" Id="rId100" Target="https://doi.org/10.1007/s12031-021-01957-w" TargetMode="External" /><Relationship Type="http://schemas.openxmlformats.org/officeDocument/2006/relationships/hyperlink" Id="rId93" Target="https://doi.org/10.1016/j.anbehav.2021.12.012" TargetMode="External" /><Relationship Type="http://schemas.openxmlformats.org/officeDocument/2006/relationships/hyperlink" Id="rId89" Target="https://doi.org/10.1093/auk/uky012" TargetMode="External" /><Relationship Type="http://schemas.openxmlformats.org/officeDocument/2006/relationships/hyperlink" Id="rId91" Target="https://doi.org/10.2307/1366088" TargetMode="External" /><Relationship Type="http://schemas.openxmlformats.org/officeDocument/2006/relationships/hyperlink" Id="rId23" Target="https://rflachlan.github.io/Luscinia/" TargetMode="External" /><Relationship Type="http://schemas.openxmlformats.org/officeDocument/2006/relationships/hyperlink" Id="rId102" Target="https://www.frontiersin.org/articles/10.3389/fendo.2020.00510" TargetMode="External" /><Relationship Type="http://schemas.openxmlformats.org/officeDocument/2006/relationships/hyperlink" Id="rId104" Target="https://www.nature.com/articles/srep10237"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17837</Words>
  <Characters>101673</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119272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information</dc:title>
  <dc:creator>Mason Youngblood  </dc:creator>
  <cp:keywords/>
  <dcterms:created xsi:type="dcterms:W3CDTF">2023-10-02T17:32:47Z</dcterms:created>
  <dcterms:modified xsi:type="dcterms:W3CDTF">2023-10-02T17:32:47Z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../bibliography.json</vt:lpwstr>
  </property>
  <property fmtid="{D5CDD505-2E9C-101B-9397-08002B2CF9AE}" pid="4" name="bookdown">
    <vt:lpwstr/>
  </property>
  <property fmtid="{D5CDD505-2E9C-101B-9397-08002B2CF9AE}" pid="5" name="cover-image">
    <vt:lpwstr>https://www.nps.gov/common/uploads/cropped_image/primary/76E27458-A21E-1339-E0DE16CC712C3FA9.jpg?width=1600&amp;quality=90&amp;mode=crop</vt:lpwstr>
  </property>
  <property fmtid="{D5CDD505-2E9C-101B-9397-08002B2CF9AE}" pid="6" name="csl">
    <vt:lpwstr>../vancouver.csl</vt:lpwstr>
  </property>
  <property fmtid="{D5CDD505-2E9C-101B-9397-08002B2CF9AE}" pid="7" name="fig_caption">
    <vt:lpwstr>True</vt:lpwstr>
  </property>
  <property fmtid="{D5CDD505-2E9C-101B-9397-08002B2CF9AE}" pid="8" name="link-citations">
    <vt:lpwstr>True</vt:lpwstr>
  </property>
  <property fmtid="{D5CDD505-2E9C-101B-9397-08002B2CF9AE}" pid="9" name="output">
    <vt:lpwstr/>
  </property>
  <property fmtid="{D5CDD505-2E9C-101B-9397-08002B2CF9AE}" pid="10" name="subtitle">
    <vt:lpwstr>Language-like efficiency and structure in house finch song</vt:lpwstr>
  </property>
</Properties>
</file>